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entury Gothic" w:cs="Century Gothic" w:eastAsia="Century Gothic" w:hAnsi="Century Gothic"/>
          <w:b w:val="0"/>
          <w:color w:val="000000"/>
          <w:sz w:val="32"/>
          <w:szCs w:val="32"/>
          <w:u w:val="single"/>
          <w:vertAlign w:val="baseline"/>
        </w:rPr>
      </w:pPr>
      <w:r w:rsidDel="00000000" w:rsidR="00000000" w:rsidRPr="00000000">
        <w:rPr>
          <w:rFonts w:ascii="Century Gothic" w:cs="Century Gothic" w:eastAsia="Century Gothic" w:hAnsi="Century Gothic"/>
          <w:b w:val="1"/>
          <w:color w:val="000000"/>
          <w:sz w:val="32"/>
          <w:szCs w:val="32"/>
          <w:u w:val="single"/>
          <w:vertAlign w:val="baseline"/>
          <w:rtl w:val="0"/>
        </w:rPr>
        <w:t xml:space="preserve">As we’ve seen, Archaeology performed in response to statutory mandates is variously referred to as</w:t>
      </w:r>
      <w:r w:rsidDel="00000000" w:rsidR="00000000" w:rsidRPr="00000000">
        <w:rPr>
          <w:rtl w:val="0"/>
        </w:rPr>
      </w:r>
    </w:p>
    <w:p w:rsidR="00000000" w:rsidDel="00000000" w:rsidP="00000000" w:rsidRDefault="00000000" w:rsidRPr="00000000" w14:paraId="00000002">
      <w:pPr>
        <w:jc w:val="center"/>
        <w:rPr>
          <w:rFonts w:ascii="Century Gothic" w:cs="Century Gothic" w:eastAsia="Century Gothic" w:hAnsi="Century Gothic"/>
          <w:b w:val="0"/>
          <w:color w:val="ff0000"/>
          <w:sz w:val="32"/>
          <w:szCs w:val="32"/>
          <w:u w:val="single"/>
          <w:vertAlign w:val="baseline"/>
        </w:rPr>
      </w:pPr>
      <w:r w:rsidDel="00000000" w:rsidR="00000000" w:rsidRPr="00000000">
        <w:rPr>
          <w:rFonts w:ascii="Century Gothic" w:cs="Century Gothic" w:eastAsia="Century Gothic" w:hAnsi="Century Gothic"/>
          <w:b w:val="1"/>
          <w:color w:val="ff0000"/>
          <w:sz w:val="32"/>
          <w:szCs w:val="32"/>
          <w:u w:val="single"/>
          <w:vertAlign w:val="baseline"/>
          <w:rtl w:val="0"/>
        </w:rPr>
        <w:t xml:space="preserve">“Cultural Resource Management”, “Contract Archaeology”, “Consulting Archaeology”</w:t>
      </w:r>
      <w:r w:rsidDel="00000000" w:rsidR="00000000" w:rsidRPr="00000000">
        <w:rPr>
          <w:rtl w:val="0"/>
        </w:rPr>
      </w:r>
    </w:p>
    <w:p w:rsidR="00000000" w:rsidDel="00000000" w:rsidP="00000000" w:rsidRDefault="00000000" w:rsidRPr="00000000" w14:paraId="00000003">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tl w:val="0"/>
        </w:rPr>
        <w:t xml:space="preserve">Generally what archaeologists do in CRM – is archaeology, structured by compliance with the law…like Section 106 (you saw a list of some of the significant legislation including the NHPA of 1966 of which Sec 106 is a part, in the PowerPoint S</w:t>
      </w:r>
      <w:r w:rsidDel="00000000" w:rsidR="00000000" w:rsidRPr="00000000">
        <w:rPr>
          <w:rFonts w:ascii="Century Gothic" w:cs="Century Gothic" w:eastAsia="Century Gothic" w:hAnsi="Century Gothic"/>
          <w:sz w:val="32"/>
          <w:szCs w:val="32"/>
          <w:rtl w:val="0"/>
        </w:rPr>
        <w:t xml:space="preserve">lides</w:t>
      </w:r>
      <w:r w:rsidDel="00000000" w:rsidR="00000000" w:rsidRPr="00000000">
        <w:rPr>
          <w:rFonts w:ascii="Century Gothic" w:cs="Century Gothic" w:eastAsia="Century Gothic" w:hAnsi="Century Gothic"/>
          <w:sz w:val="32"/>
          <w:szCs w:val="32"/>
          <w:vertAlign w:val="baseline"/>
          <w:rtl w:val="0"/>
        </w:rPr>
        <w:t xml:space="preserve">).  I listed some significant details of this legislation below…</w:t>
      </w:r>
    </w:p>
    <w:p w:rsidR="00000000" w:rsidDel="00000000" w:rsidP="00000000" w:rsidRDefault="00000000" w:rsidRPr="00000000" w14:paraId="00000004">
      <w:pPr>
        <w:numPr>
          <w:ilvl w:val="0"/>
          <w:numId w:val="1"/>
        </w:numPr>
        <w:spacing w:after="280" w:before="280" w:line="240" w:lineRule="auto"/>
        <w:ind w:left="1080" w:hanging="720"/>
        <w:rPr>
          <w:rFonts w:ascii="Century Gothic" w:cs="Century Gothic" w:eastAsia="Century Gothic" w:hAnsi="Century Gothic"/>
          <w:color w:val="000000"/>
          <w:sz w:val="32"/>
          <w:szCs w:val="32"/>
          <w:vertAlign w:val="baseline"/>
        </w:rPr>
      </w:pPr>
      <w:r w:rsidDel="00000000" w:rsidR="00000000" w:rsidRPr="00000000">
        <w:rPr>
          <w:rFonts w:ascii="Century Gothic" w:cs="Century Gothic" w:eastAsia="Century Gothic" w:hAnsi="Century Gothic"/>
          <w:color w:val="000000"/>
          <w:sz w:val="32"/>
          <w:szCs w:val="32"/>
          <w:vertAlign w:val="baseline"/>
          <w:rtl w:val="0"/>
        </w:rPr>
        <w:t xml:space="preserve">THE NATIONAL HISTORIC PRESERVATION ACT OF 1966</w:t>
      </w:r>
    </w:p>
    <w:p w:rsidR="00000000" w:rsidDel="00000000" w:rsidP="00000000" w:rsidRDefault="00000000" w:rsidRPr="00000000" w14:paraId="00000005">
      <w:pPr>
        <w:numPr>
          <w:ilvl w:val="0"/>
          <w:numId w:val="2"/>
        </w:numPr>
        <w:spacing w:after="0" w:before="280" w:line="240" w:lineRule="auto"/>
        <w:ind w:left="1080" w:hanging="360"/>
        <w:jc w:val="both"/>
        <w:rPr>
          <w:rFonts w:ascii="Century Gothic" w:cs="Century Gothic" w:eastAsia="Century Gothic" w:hAnsi="Century Gothic"/>
          <w:color w:val="000000"/>
          <w:sz w:val="32"/>
          <w:szCs w:val="32"/>
          <w:vertAlign w:val="baseline"/>
        </w:rPr>
      </w:pPr>
      <w:r w:rsidDel="00000000" w:rsidR="00000000" w:rsidRPr="00000000">
        <w:rPr>
          <w:rFonts w:ascii="Century Gothic" w:cs="Century Gothic" w:eastAsia="Century Gothic" w:hAnsi="Century Gothic"/>
          <w:color w:val="000000"/>
          <w:sz w:val="32"/>
          <w:szCs w:val="32"/>
          <w:vertAlign w:val="baseline"/>
          <w:rtl w:val="0"/>
        </w:rPr>
        <w:t xml:space="preserve">established the U.S. policy of preserving history</w:t>
      </w:r>
    </w:p>
    <w:p w:rsidR="00000000" w:rsidDel="00000000" w:rsidP="00000000" w:rsidRDefault="00000000" w:rsidRPr="00000000" w14:paraId="00000006">
      <w:pPr>
        <w:numPr>
          <w:ilvl w:val="0"/>
          <w:numId w:val="2"/>
        </w:numPr>
        <w:spacing w:after="280" w:before="0" w:line="240" w:lineRule="auto"/>
        <w:ind w:left="1080" w:hanging="360"/>
        <w:jc w:val="both"/>
        <w:rPr>
          <w:rFonts w:ascii="Century Gothic" w:cs="Century Gothic" w:eastAsia="Century Gothic" w:hAnsi="Century Gothic"/>
          <w:color w:val="000000"/>
          <w:sz w:val="32"/>
          <w:szCs w:val="32"/>
          <w:vertAlign w:val="baseline"/>
        </w:rPr>
      </w:pPr>
      <w:r w:rsidDel="00000000" w:rsidR="00000000" w:rsidRPr="00000000">
        <w:rPr>
          <w:rFonts w:ascii="Century Gothic" w:cs="Century Gothic" w:eastAsia="Century Gothic" w:hAnsi="Century Gothic"/>
          <w:color w:val="000000"/>
          <w:sz w:val="32"/>
          <w:szCs w:val="32"/>
          <w:vertAlign w:val="baseline"/>
          <w:rtl w:val="0"/>
        </w:rPr>
        <w:t xml:space="preserve">Section 101 –Establishes National Register of Historic Places. </w:t>
      </w:r>
    </w:p>
    <w:p w:rsidR="00000000" w:rsidDel="00000000" w:rsidP="00000000" w:rsidRDefault="00000000" w:rsidRPr="00000000" w14:paraId="00000007">
      <w:pPr>
        <w:numPr>
          <w:ilvl w:val="0"/>
          <w:numId w:val="3"/>
        </w:numPr>
        <w:spacing w:after="280" w:before="280" w:line="240" w:lineRule="auto"/>
        <w:ind w:left="2520" w:hanging="360"/>
        <w:jc w:val="both"/>
        <w:rPr>
          <w:rFonts w:ascii="Century Gothic" w:cs="Century Gothic" w:eastAsia="Century Gothic" w:hAnsi="Century Gothic"/>
          <w:color w:val="1f497d"/>
          <w:sz w:val="32"/>
          <w:szCs w:val="32"/>
          <w:vertAlign w:val="baseline"/>
        </w:rPr>
      </w:pPr>
      <w:r w:rsidDel="00000000" w:rsidR="00000000" w:rsidRPr="00000000">
        <w:rPr>
          <w:rFonts w:ascii="Century Gothic" w:cs="Century Gothic" w:eastAsia="Century Gothic" w:hAnsi="Century Gothic"/>
          <w:color w:val="000000"/>
          <w:sz w:val="32"/>
          <w:szCs w:val="32"/>
          <w:vertAlign w:val="baseline"/>
          <w:rtl w:val="0"/>
        </w:rPr>
        <w:t xml:space="preserve">properties considered "significant" </w:t>
      </w:r>
      <w:r w:rsidDel="00000000" w:rsidR="00000000" w:rsidRPr="00000000">
        <w:rPr>
          <w:rFonts w:ascii="Century Gothic" w:cs="Century Gothic" w:eastAsia="Century Gothic" w:hAnsi="Century Gothic"/>
          <w:color w:val="1f497d"/>
          <w:sz w:val="32"/>
          <w:szCs w:val="32"/>
          <w:vertAlign w:val="baseline"/>
          <w:rtl w:val="0"/>
        </w:rPr>
        <w:t xml:space="preserve">in one or more aspects of American society and culture.</w:t>
      </w:r>
    </w:p>
    <w:p w:rsidR="00000000" w:rsidDel="00000000" w:rsidP="00000000" w:rsidRDefault="00000000" w:rsidRPr="00000000" w14:paraId="00000008">
      <w:pPr>
        <w:numPr>
          <w:ilvl w:val="0"/>
          <w:numId w:val="4"/>
        </w:numPr>
        <w:spacing w:after="280" w:before="280" w:line="240" w:lineRule="auto"/>
        <w:ind w:left="4320" w:hanging="360"/>
        <w:jc w:val="both"/>
        <w:rPr>
          <w:rFonts w:ascii="Century Gothic" w:cs="Century Gothic" w:eastAsia="Century Gothic" w:hAnsi="Century Gothic"/>
          <w:color w:val="000000"/>
          <w:sz w:val="32"/>
          <w:szCs w:val="32"/>
          <w:vertAlign w:val="baseline"/>
        </w:rPr>
      </w:pPr>
      <w:r w:rsidDel="00000000" w:rsidR="00000000" w:rsidRPr="00000000">
        <w:rPr>
          <w:rFonts w:ascii="Century Gothic" w:cs="Century Gothic" w:eastAsia="Century Gothic" w:hAnsi="Century Gothic"/>
          <w:color w:val="1f497d"/>
          <w:sz w:val="32"/>
          <w:szCs w:val="32"/>
          <w:vertAlign w:val="baseline"/>
          <w:rtl w:val="0"/>
        </w:rPr>
        <w:t xml:space="preserve">To be listed, a property must meet criteria "of significance </w:t>
      </w:r>
      <w:r w:rsidDel="00000000" w:rsidR="00000000" w:rsidRPr="00000000">
        <w:rPr>
          <w:rFonts w:ascii="Century Gothic" w:cs="Century Gothic" w:eastAsia="Century Gothic" w:hAnsi="Century Gothic"/>
          <w:sz w:val="32"/>
          <w:szCs w:val="32"/>
          <w:vertAlign w:val="baseline"/>
          <w:rtl w:val="0"/>
        </w:rPr>
        <w:t xml:space="preserve">associated with events, or lives of significance to our history, or having distinctive structural characteristics, or </w:t>
        <w:tab/>
        <w:t xml:space="preserve">possible new info. </w:t>
      </w:r>
      <w:r w:rsidDel="00000000" w:rsidR="00000000" w:rsidRPr="00000000">
        <w:rPr>
          <w:rtl w:val="0"/>
        </w:rPr>
      </w:r>
    </w:p>
    <w:p w:rsidR="00000000" w:rsidDel="00000000" w:rsidP="00000000" w:rsidRDefault="00000000" w:rsidRPr="00000000" w14:paraId="00000009">
      <w:pPr>
        <w:spacing w:after="280" w:before="280" w:line="240" w:lineRule="auto"/>
        <w:ind w:left="1440" w:firstLine="0"/>
        <w:jc w:val="both"/>
        <w:rPr>
          <w:rFonts w:ascii="Century Gothic" w:cs="Century Gothic" w:eastAsia="Century Gothic" w:hAnsi="Century Gothic"/>
          <w:color w:val="1f497d"/>
          <w:sz w:val="32"/>
          <w:szCs w:val="32"/>
          <w:vertAlign w:val="baseline"/>
        </w:rPr>
      </w:pPr>
      <w:r w:rsidDel="00000000" w:rsidR="00000000" w:rsidRPr="00000000">
        <w:rPr>
          <w:rFonts w:ascii="Century Gothic" w:cs="Century Gothic" w:eastAsia="Century Gothic" w:hAnsi="Century Gothic"/>
          <w:color w:val="1f497d"/>
          <w:sz w:val="32"/>
          <w:szCs w:val="32"/>
          <w:vertAlign w:val="baseline"/>
          <w:rtl w:val="0"/>
        </w:rPr>
        <w:tab/>
        <w:tab/>
        <w:tab/>
        <w:tab/>
        <w:t xml:space="preserve">i. associated with events that have made </w:t>
        <w:tab/>
        <w:tab/>
        <w:tab/>
        <w:tab/>
        <w:t xml:space="preserve">a significant contribution to our history; or </w:t>
      </w:r>
    </w:p>
    <w:p w:rsidR="00000000" w:rsidDel="00000000" w:rsidP="00000000" w:rsidRDefault="00000000" w:rsidRPr="00000000" w14:paraId="0000000A">
      <w:pPr>
        <w:spacing w:after="280" w:before="280" w:line="240" w:lineRule="auto"/>
        <w:ind w:left="2520" w:firstLine="0"/>
        <w:jc w:val="both"/>
        <w:rPr>
          <w:rFonts w:ascii="Century Gothic" w:cs="Century Gothic" w:eastAsia="Century Gothic" w:hAnsi="Century Gothic"/>
          <w:color w:val="1f497d"/>
          <w:sz w:val="32"/>
          <w:szCs w:val="32"/>
          <w:vertAlign w:val="baseline"/>
        </w:rPr>
      </w:pPr>
      <w:r w:rsidDel="00000000" w:rsidR="00000000" w:rsidRPr="00000000">
        <w:rPr>
          <w:rFonts w:ascii="Century Gothic" w:cs="Century Gothic" w:eastAsia="Century Gothic" w:hAnsi="Century Gothic"/>
          <w:color w:val="1f497d"/>
          <w:sz w:val="32"/>
          <w:szCs w:val="32"/>
          <w:vertAlign w:val="baseline"/>
          <w:rtl w:val="0"/>
        </w:rPr>
        <w:tab/>
        <w:tab/>
        <w:tab/>
        <w:t xml:space="preserve">ii. associated with the lives of significant </w:t>
        <w:tab/>
        <w:tab/>
        <w:tab/>
        <w:tab/>
        <w:t xml:space="preserve">persons in our past; or </w:t>
      </w:r>
    </w:p>
    <w:p w:rsidR="00000000" w:rsidDel="00000000" w:rsidP="00000000" w:rsidRDefault="00000000" w:rsidRPr="00000000" w14:paraId="0000000B">
      <w:pPr>
        <w:spacing w:after="280" w:before="280" w:line="240" w:lineRule="auto"/>
        <w:ind w:left="2520" w:firstLine="0"/>
        <w:jc w:val="both"/>
        <w:rPr>
          <w:rFonts w:ascii="Century Gothic" w:cs="Century Gothic" w:eastAsia="Century Gothic" w:hAnsi="Century Gothic"/>
          <w:color w:val="1f497d"/>
          <w:sz w:val="32"/>
          <w:szCs w:val="32"/>
          <w:vertAlign w:val="baseline"/>
        </w:rPr>
      </w:pPr>
      <w:r w:rsidDel="00000000" w:rsidR="00000000" w:rsidRPr="00000000">
        <w:rPr>
          <w:rFonts w:ascii="Century Gothic" w:cs="Century Gothic" w:eastAsia="Century Gothic" w:hAnsi="Century Gothic"/>
          <w:color w:val="1f497d"/>
          <w:sz w:val="32"/>
          <w:szCs w:val="32"/>
          <w:vertAlign w:val="baseline"/>
          <w:rtl w:val="0"/>
        </w:rPr>
        <w:tab/>
        <w:tab/>
        <w:tab/>
        <w:t xml:space="preserve">iii. embody the distinctive characteristics </w:t>
        <w:tab/>
        <w:tab/>
        <w:tab/>
        <w:tab/>
        <w:t xml:space="preserve">of a type, period, or method of </w:t>
        <w:tab/>
        <w:tab/>
        <w:tab/>
        <w:tab/>
        <w:tab/>
        <w:tab/>
        <w:t xml:space="preserve">construction, or work of a master</w:t>
      </w:r>
    </w:p>
    <w:p w:rsidR="00000000" w:rsidDel="00000000" w:rsidP="00000000" w:rsidRDefault="00000000" w:rsidRPr="00000000" w14:paraId="0000000C">
      <w:pPr>
        <w:spacing w:after="280" w:before="280" w:line="240" w:lineRule="auto"/>
        <w:ind w:left="1440" w:firstLine="0"/>
        <w:jc w:val="both"/>
        <w:rPr>
          <w:rFonts w:ascii="Century Gothic" w:cs="Century Gothic" w:eastAsia="Century Gothic" w:hAnsi="Century Gothic"/>
          <w:color w:val="1f497d"/>
          <w:sz w:val="32"/>
          <w:szCs w:val="32"/>
          <w:vertAlign w:val="baseline"/>
        </w:rPr>
      </w:pPr>
      <w:r w:rsidDel="00000000" w:rsidR="00000000" w:rsidRPr="00000000">
        <w:rPr>
          <w:rFonts w:ascii="Century Gothic" w:cs="Century Gothic" w:eastAsia="Century Gothic" w:hAnsi="Century Gothic"/>
          <w:b w:val="1"/>
          <w:color w:val="1f497d"/>
          <w:sz w:val="32"/>
          <w:szCs w:val="32"/>
          <w:vertAlign w:val="baseline"/>
          <w:rtl w:val="0"/>
        </w:rPr>
        <w:tab/>
        <w:tab/>
        <w:tab/>
        <w:tab/>
        <w:t xml:space="preserve">iv.</w:t>
      </w:r>
      <w:r w:rsidDel="00000000" w:rsidR="00000000" w:rsidRPr="00000000">
        <w:rPr>
          <w:rFonts w:ascii="Century Gothic" w:cs="Century Gothic" w:eastAsia="Century Gothic" w:hAnsi="Century Gothic"/>
          <w:color w:val="1f497d"/>
          <w:sz w:val="32"/>
          <w:szCs w:val="32"/>
          <w:vertAlign w:val="baseline"/>
          <w:rtl w:val="0"/>
        </w:rPr>
        <w:t xml:space="preserve"> That have yielded or may be likely to </w:t>
        <w:tab/>
        <w:tab/>
        <w:tab/>
        <w:tab/>
        <w:tab/>
        <w:t xml:space="preserve">yield, information important in history or </w:t>
        <w:tab/>
        <w:tab/>
        <w:tab/>
        <w:tab/>
        <w:tab/>
        <w:t xml:space="preserve">prehistory. </w:t>
      </w:r>
    </w:p>
    <w:p w:rsidR="00000000" w:rsidDel="00000000" w:rsidP="00000000" w:rsidRDefault="00000000" w:rsidRPr="00000000" w14:paraId="0000000D">
      <w:pPr>
        <w:numPr>
          <w:ilvl w:val="0"/>
          <w:numId w:val="1"/>
        </w:numPr>
        <w:ind w:left="1080" w:hanging="720"/>
        <w:rPr>
          <w:rFonts w:ascii="Century Gothic" w:cs="Century Gothic" w:eastAsia="Century Gothic" w:hAnsi="Century Gothic"/>
          <w:color w:val="1f497d"/>
          <w:sz w:val="32"/>
          <w:szCs w:val="32"/>
          <w:vertAlign w:val="baseline"/>
        </w:rPr>
      </w:pPr>
      <w:r w:rsidDel="00000000" w:rsidR="00000000" w:rsidRPr="00000000">
        <w:rPr>
          <w:rFonts w:ascii="Century Gothic" w:cs="Century Gothic" w:eastAsia="Century Gothic" w:hAnsi="Century Gothic"/>
          <w:color w:val="1f497d"/>
          <w:sz w:val="32"/>
          <w:szCs w:val="32"/>
          <w:vertAlign w:val="baseline"/>
          <w:rtl w:val="0"/>
        </w:rPr>
        <w:t xml:space="preserve">CRM archaeology is done in response to</w:t>
      </w:r>
      <w:r w:rsidDel="00000000" w:rsidR="00000000" w:rsidRPr="00000000">
        <w:rPr>
          <w:rFonts w:ascii="Century Gothic" w:cs="Century Gothic" w:eastAsia="Century Gothic" w:hAnsi="Century Gothic"/>
          <w:color w:val="000000"/>
          <w:sz w:val="32"/>
          <w:szCs w:val="32"/>
          <w:vertAlign w:val="baseline"/>
          <w:rtl w:val="0"/>
        </w:rPr>
        <w:t xml:space="preserve"> Section 106 Process </w:t>
      </w:r>
      <w:r w:rsidDel="00000000" w:rsidR="00000000" w:rsidRPr="00000000">
        <w:rPr>
          <w:rFonts w:ascii="Century Gothic" w:cs="Century Gothic" w:eastAsia="Century Gothic" w:hAnsi="Century Gothic"/>
          <w:color w:val="1f497d"/>
          <w:sz w:val="32"/>
          <w:szCs w:val="32"/>
          <w:vertAlign w:val="baseline"/>
          <w:rtl w:val="0"/>
        </w:rPr>
        <w:t xml:space="preserve">or state and local counterparts.</w:t>
      </w:r>
    </w:p>
    <w:p w:rsidR="00000000" w:rsidDel="00000000" w:rsidP="00000000" w:rsidRDefault="00000000" w:rsidRPr="00000000" w14:paraId="0000000E">
      <w:pPr>
        <w:rPr>
          <w:rFonts w:ascii="Century Gothic" w:cs="Century Gothic" w:eastAsia="Century Gothic" w:hAnsi="Century Gothic"/>
          <w:color w:val="000000"/>
          <w:sz w:val="32"/>
          <w:szCs w:val="32"/>
          <w:vertAlign w:val="baseline"/>
        </w:rPr>
      </w:pPr>
      <w:r w:rsidDel="00000000" w:rsidR="00000000" w:rsidRPr="00000000">
        <w:rPr>
          <w:rFonts w:ascii="Century Gothic" w:cs="Century Gothic" w:eastAsia="Century Gothic" w:hAnsi="Century Gothic"/>
          <w:color w:val="000000"/>
          <w:sz w:val="32"/>
          <w:szCs w:val="32"/>
          <w:vertAlign w:val="baseline"/>
          <w:rtl w:val="0"/>
        </w:rPr>
        <w:tab/>
        <w:t xml:space="preserve">Terms Phase I, II, III, are used as labels for</w:t>
      </w:r>
    </w:p>
    <w:p w:rsidR="00000000" w:rsidDel="00000000" w:rsidP="00000000" w:rsidRDefault="00000000" w:rsidRPr="00000000" w14:paraId="0000000F">
      <w:pPr>
        <w:numPr>
          <w:ilvl w:val="0"/>
          <w:numId w:val="5"/>
        </w:numPr>
        <w:ind w:left="2520" w:hanging="360"/>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tl w:val="0"/>
        </w:rPr>
        <w:t xml:space="preserve">Phase I – Identification</w:t>
      </w:r>
    </w:p>
    <w:p w:rsidR="00000000" w:rsidDel="00000000" w:rsidP="00000000" w:rsidRDefault="00000000" w:rsidRPr="00000000" w14:paraId="00000010">
      <w:pPr>
        <w:numPr>
          <w:ilvl w:val="0"/>
          <w:numId w:val="5"/>
        </w:numPr>
        <w:ind w:left="2520" w:hanging="360"/>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tl w:val="0"/>
        </w:rPr>
        <w:t xml:space="preserve">Phase II – Evaluation</w:t>
      </w:r>
    </w:p>
    <w:p w:rsidR="00000000" w:rsidDel="00000000" w:rsidP="00000000" w:rsidRDefault="00000000" w:rsidRPr="00000000" w14:paraId="00000011">
      <w:pPr>
        <w:numPr>
          <w:ilvl w:val="0"/>
          <w:numId w:val="5"/>
        </w:numPr>
        <w:ind w:left="2520" w:hanging="360"/>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tl w:val="0"/>
        </w:rPr>
        <w:t xml:space="preserve">Phase III – Mitigation or Resolution</w:t>
      </w:r>
    </w:p>
    <w:p w:rsidR="00000000" w:rsidDel="00000000" w:rsidP="00000000" w:rsidRDefault="00000000" w:rsidRPr="00000000" w14:paraId="00000012">
      <w:pPr>
        <w:rPr>
          <w:rFonts w:ascii="Century Gothic" w:cs="Century Gothic" w:eastAsia="Century Gothic" w:hAnsi="Century Gothic"/>
          <w:color w:val="0000ff"/>
          <w:sz w:val="32"/>
          <w:szCs w:val="32"/>
          <w:vertAlign w:val="baseline"/>
        </w:rPr>
      </w:pPr>
      <w:r w:rsidDel="00000000" w:rsidR="00000000" w:rsidRPr="00000000">
        <w:rPr>
          <w:rFonts w:ascii="Century Gothic" w:cs="Century Gothic" w:eastAsia="Century Gothic" w:hAnsi="Century Gothic"/>
          <w:color w:val="0000ff"/>
          <w:sz w:val="32"/>
          <w:szCs w:val="32"/>
          <w:vertAlign w:val="baseline"/>
          <w:rtl w:val="0"/>
        </w:rPr>
        <w:t xml:space="preserve">AGAIN THE POWERPOINT </w:t>
      </w:r>
      <w:r w:rsidDel="00000000" w:rsidR="00000000" w:rsidRPr="00000000">
        <w:rPr>
          <w:rFonts w:ascii="Century Gothic" w:cs="Century Gothic" w:eastAsia="Century Gothic" w:hAnsi="Century Gothic"/>
          <w:color w:val="0000ff"/>
          <w:sz w:val="32"/>
          <w:szCs w:val="32"/>
          <w:rtl w:val="0"/>
        </w:rPr>
        <w:t xml:space="preserve">SLIDES </w:t>
      </w:r>
      <w:r w:rsidDel="00000000" w:rsidR="00000000" w:rsidRPr="00000000">
        <w:rPr>
          <w:rFonts w:ascii="Century Gothic" w:cs="Century Gothic" w:eastAsia="Century Gothic" w:hAnsi="Century Gothic"/>
          <w:color w:val="0000ff"/>
          <w:sz w:val="32"/>
          <w:szCs w:val="32"/>
          <w:vertAlign w:val="baseline"/>
          <w:rtl w:val="0"/>
        </w:rPr>
        <w:t xml:space="preserve">PROVIDE PICTURES AND DETAILS OF THESE 3 PHASES</w:t>
      </w:r>
    </w:p>
    <w:p w:rsidR="00000000" w:rsidDel="00000000" w:rsidP="00000000" w:rsidRDefault="00000000" w:rsidRPr="00000000" w14:paraId="00000013">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b w:val="1"/>
          <w:sz w:val="32"/>
          <w:szCs w:val="32"/>
          <w:vertAlign w:val="baseline"/>
          <w:rtl w:val="0"/>
        </w:rPr>
        <w:t xml:space="preserve">IN OTHER WORDS</w:t>
      </w:r>
      <w:r w:rsidDel="00000000" w:rsidR="00000000" w:rsidRPr="00000000">
        <w:rPr>
          <w:rtl w:val="0"/>
        </w:rPr>
      </w:r>
    </w:p>
    <w:p w:rsidR="00000000" w:rsidDel="00000000" w:rsidP="00000000" w:rsidRDefault="00000000" w:rsidRPr="00000000" w14:paraId="00000014">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tl w:val="0"/>
        </w:rPr>
        <w:t xml:space="preserve">CRM </w:t>
      </w:r>
      <w:r w:rsidDel="00000000" w:rsidR="00000000" w:rsidRPr="00000000">
        <w:rPr>
          <w:rFonts w:ascii="Century Gothic" w:cs="Century Gothic" w:eastAsia="Century Gothic" w:hAnsi="Century Gothic"/>
          <w:color w:val="3333ff"/>
          <w:sz w:val="32"/>
          <w:szCs w:val="32"/>
          <w:vertAlign w:val="baseline"/>
          <w:rtl w:val="0"/>
        </w:rPr>
        <w:t xml:space="preserve">is</w:t>
      </w:r>
      <w:r w:rsidDel="00000000" w:rsidR="00000000" w:rsidRPr="00000000">
        <w:rPr>
          <w:rFonts w:ascii="Century Gothic" w:cs="Century Gothic" w:eastAsia="Century Gothic" w:hAnsi="Century Gothic"/>
          <w:sz w:val="32"/>
          <w:szCs w:val="32"/>
          <w:vertAlign w:val="baseline"/>
          <w:rtl w:val="0"/>
        </w:rPr>
        <w:t xml:space="preserve"> done because there are laws requiring that it be done.</w:t>
      </w:r>
    </w:p>
    <w:p w:rsidR="00000000" w:rsidDel="00000000" w:rsidP="00000000" w:rsidRDefault="00000000" w:rsidRPr="00000000" w14:paraId="00000015">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In the U.S. the</w:t>
      </w:r>
      <w:r w:rsidDel="00000000" w:rsidR="00000000" w:rsidRPr="00000000">
        <w:rPr>
          <w:rFonts w:ascii="Century Gothic" w:cs="Century Gothic" w:eastAsia="Century Gothic" w:hAnsi="Century Gothic"/>
          <w:sz w:val="32"/>
          <w:szCs w:val="32"/>
          <w:vertAlign w:val="baseline"/>
          <w:rtl w:val="0"/>
        </w:rPr>
        <w:t xml:space="preserve"> NHPA is one of those laws, and Section 106 is a very important part of that law.</w:t>
      </w:r>
    </w:p>
    <w:p w:rsidR="00000000" w:rsidDel="00000000" w:rsidP="00000000" w:rsidRDefault="00000000" w:rsidRPr="00000000" w14:paraId="00000016">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But there are others---</w:t>
      </w:r>
      <w:r w:rsidDel="00000000" w:rsidR="00000000" w:rsidRPr="00000000">
        <w:rPr>
          <w:rFonts w:ascii="Century Gothic" w:cs="Century Gothic" w:eastAsia="Century Gothic" w:hAnsi="Century Gothic"/>
          <w:sz w:val="32"/>
          <w:szCs w:val="32"/>
          <w:vertAlign w:val="baseline"/>
          <w:rtl w:val="0"/>
        </w:rPr>
        <w:t xml:space="preserve">the Native American Graves Protection and Repatriation Act</w:t>
      </w:r>
    </w:p>
    <w:p w:rsidR="00000000" w:rsidDel="00000000" w:rsidP="00000000" w:rsidRDefault="00000000" w:rsidRPr="00000000" w14:paraId="00000017">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Besides the federal laws</w:t>
      </w:r>
      <w:r w:rsidDel="00000000" w:rsidR="00000000" w:rsidRPr="00000000">
        <w:rPr>
          <w:rFonts w:ascii="Century Gothic" w:cs="Century Gothic" w:eastAsia="Century Gothic" w:hAnsi="Century Gothic"/>
          <w:sz w:val="32"/>
          <w:szCs w:val="32"/>
          <w:vertAlign w:val="baseline"/>
          <w:rtl w:val="0"/>
        </w:rPr>
        <w:t xml:space="preserve"> there are a number of state, Indian tribal, and local laws that apply under particular circumstances.</w:t>
      </w:r>
    </w:p>
    <w:p w:rsidR="00000000" w:rsidDel="00000000" w:rsidP="00000000" w:rsidRDefault="00000000" w:rsidRPr="00000000" w14:paraId="00000018">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None of the laws—at least none of the federal laws—actually requires a comprehensive program of cultural resource management;</w:t>
      </w:r>
      <w:r w:rsidDel="00000000" w:rsidR="00000000" w:rsidRPr="00000000">
        <w:rPr>
          <w:rFonts w:ascii="Century Gothic" w:cs="Century Gothic" w:eastAsia="Century Gothic" w:hAnsi="Century Gothic"/>
          <w:sz w:val="32"/>
          <w:szCs w:val="32"/>
          <w:vertAlign w:val="baseline"/>
          <w:rtl w:val="0"/>
        </w:rPr>
        <w:t xml:space="preserve"> they deal with the topic piecemeal.</w:t>
      </w:r>
    </w:p>
    <w:p w:rsidR="00000000" w:rsidDel="00000000" w:rsidP="00000000" w:rsidRDefault="00000000" w:rsidRPr="00000000" w14:paraId="00000019">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tl w:val="0"/>
        </w:rPr>
        <w:t xml:space="preserve">Some laws focus on historic preservation, others on religious practice, others on archaeology. </w:t>
      </w:r>
    </w:p>
    <w:p w:rsidR="00000000" w:rsidDel="00000000" w:rsidP="00000000" w:rsidRDefault="00000000" w:rsidRPr="00000000" w14:paraId="0000001A">
      <w:pPr>
        <w:rPr>
          <w:rFonts w:ascii="Century Gothic" w:cs="Century Gothic" w:eastAsia="Century Gothic" w:hAnsi="Century Gothic"/>
          <w:sz w:val="32"/>
          <w:szCs w:val="32"/>
          <w:vertAlign w:val="baseline"/>
        </w:rPr>
      </w:pPr>
      <w:r w:rsidDel="00000000" w:rsidR="00000000" w:rsidRPr="00000000">
        <w:rPr>
          <w:rtl w:val="0"/>
        </w:rPr>
      </w:r>
    </w:p>
    <w:p w:rsidR="00000000" w:rsidDel="00000000" w:rsidP="00000000" w:rsidRDefault="00000000" w:rsidRPr="00000000" w14:paraId="0000001B">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tl w:val="0"/>
        </w:rPr>
        <w:t xml:space="preserve">It’s up to CRM’s practitioners to pull it all together.</w:t>
      </w:r>
    </w:p>
    <w:p w:rsidR="00000000" w:rsidDel="00000000" w:rsidP="00000000" w:rsidRDefault="00000000" w:rsidRPr="00000000" w14:paraId="0000001C">
      <w:pPr>
        <w:rPr>
          <w:rFonts w:ascii="Century Gothic" w:cs="Century Gothic" w:eastAsia="Century Gothic" w:hAnsi="Century Gothic"/>
          <w:color w:val="3333ff"/>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In other nations CRM—usually called something else using words like “cultural heritage” or cultural patrimony—is done under whatever laws apply.</w:t>
      </w:r>
    </w:p>
    <w:p w:rsidR="00000000" w:rsidDel="00000000" w:rsidP="00000000" w:rsidRDefault="00000000" w:rsidRPr="00000000" w14:paraId="0000001D">
      <w:pPr>
        <w:rPr>
          <w:rFonts w:ascii="Century Gothic" w:cs="Century Gothic" w:eastAsia="Century Gothic" w:hAnsi="Century Gothic"/>
          <w:color w:val="3333ff"/>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There are also international standards.</w:t>
      </w:r>
    </w:p>
    <w:p w:rsidR="00000000" w:rsidDel="00000000" w:rsidP="00000000" w:rsidRDefault="00000000" w:rsidRPr="00000000" w14:paraId="0000001E">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tl w:val="0"/>
        </w:rPr>
        <w:t xml:space="preserve">The laws fundamentally structure how CRM is practiced.</w:t>
      </w:r>
    </w:p>
    <w:p w:rsidR="00000000" w:rsidDel="00000000" w:rsidP="00000000" w:rsidRDefault="00000000" w:rsidRPr="00000000" w14:paraId="0000001F">
      <w:pPr>
        <w:rPr>
          <w:rFonts w:ascii="Century Gothic" w:cs="Century Gothic" w:eastAsia="Century Gothic" w:hAnsi="Century Gothic"/>
          <w:color w:val="3333ff"/>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In the U.S. for example, if an archaeological site is found not eligible for the National Register of Historic Places, </w:t>
      </w:r>
    </w:p>
    <w:p w:rsidR="00000000" w:rsidDel="00000000" w:rsidP="00000000" w:rsidRDefault="00000000" w:rsidRPr="00000000" w14:paraId="00000020">
      <w:pPr>
        <w:rPr>
          <w:rFonts w:ascii="Century Gothic" w:cs="Century Gothic" w:eastAsia="Century Gothic" w:hAnsi="Century Gothic"/>
          <w:color w:val="3333ff"/>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it’s not entitled to any further consideration under Section 106.</w:t>
      </w:r>
    </w:p>
    <w:p w:rsidR="00000000" w:rsidDel="00000000" w:rsidP="00000000" w:rsidRDefault="00000000" w:rsidRPr="00000000" w14:paraId="00000021">
      <w:pPr>
        <w:rPr>
          <w:rFonts w:ascii="Century Gothic" w:cs="Century Gothic" w:eastAsia="Century Gothic" w:hAnsi="Century Gothic"/>
          <w:color w:val="3333ff"/>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One may be able to make an argument for doing something with it under another law, </w:t>
      </w:r>
    </w:p>
    <w:p w:rsidR="00000000" w:rsidDel="00000000" w:rsidP="00000000" w:rsidRDefault="00000000" w:rsidRPr="00000000" w14:paraId="00000022">
      <w:pPr>
        <w:rPr>
          <w:rFonts w:ascii="Century Gothic" w:cs="Century Gothic" w:eastAsia="Century Gothic" w:hAnsi="Century Gothic"/>
          <w:color w:val="3333ff"/>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but under Section 106, the CRM legal requirement that most federal agencies best understand, the site is a goner.</w:t>
      </w:r>
    </w:p>
    <w:p w:rsidR="00000000" w:rsidDel="00000000" w:rsidP="00000000" w:rsidRDefault="00000000" w:rsidRPr="00000000" w14:paraId="00000023">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color w:val="3333ff"/>
          <w:sz w:val="32"/>
          <w:szCs w:val="32"/>
          <w:vertAlign w:val="baseline"/>
          <w:rtl w:val="0"/>
        </w:rPr>
        <w:t xml:space="preserve">So the</w:t>
      </w:r>
      <w:r w:rsidDel="00000000" w:rsidR="00000000" w:rsidRPr="00000000">
        <w:rPr>
          <w:rFonts w:ascii="Century Gothic" w:cs="Century Gothic" w:eastAsia="Century Gothic" w:hAnsi="Century Gothic"/>
          <w:sz w:val="32"/>
          <w:szCs w:val="32"/>
          <w:vertAlign w:val="baseline"/>
          <w:rtl w:val="0"/>
        </w:rPr>
        <w:t xml:space="preserve"> processes by which places are determined eligible and ineligible for the National Register of Historic Places, are tremendously important for the practice of CRM.</w:t>
      </w:r>
    </w:p>
    <w:p w:rsidR="00000000" w:rsidDel="00000000" w:rsidP="00000000" w:rsidRDefault="00000000" w:rsidRPr="00000000" w14:paraId="00000024">
      <w:pPr>
        <w:spacing w:after="0" w:line="240" w:lineRule="auto"/>
        <w:jc w:val="both"/>
        <w:rPr>
          <w:rFonts w:ascii="Century Gothic" w:cs="Century Gothic" w:eastAsia="Century Gothic" w:hAnsi="Century Gothic"/>
          <w:color w:val="ff0000"/>
          <w:sz w:val="32"/>
          <w:szCs w:val="32"/>
          <w:vertAlign w:val="baseline"/>
        </w:rPr>
      </w:pPr>
      <w:r w:rsidDel="00000000" w:rsidR="00000000" w:rsidRPr="00000000">
        <w:rPr>
          <w:rtl w:val="0"/>
        </w:rPr>
      </w:r>
    </w:p>
    <w:p w:rsidR="00000000" w:rsidDel="00000000" w:rsidP="00000000" w:rsidRDefault="00000000" w:rsidRPr="00000000" w14:paraId="00000025">
      <w:pPr>
        <w:spacing w:after="0" w:line="240" w:lineRule="auto"/>
        <w:jc w:val="both"/>
        <w:rPr>
          <w:rFonts w:ascii="Century Gothic" w:cs="Century Gothic" w:eastAsia="Century Gothic" w:hAnsi="Century Gothic"/>
          <w:color w:val="ff0000"/>
          <w:sz w:val="32"/>
          <w:szCs w:val="32"/>
          <w:vertAlign w:val="baseline"/>
        </w:rPr>
      </w:pPr>
      <w:r w:rsidDel="00000000" w:rsidR="00000000" w:rsidRPr="00000000">
        <w:rPr>
          <w:rtl w:val="0"/>
        </w:rPr>
      </w:r>
    </w:p>
    <w:p w:rsidR="00000000" w:rsidDel="00000000" w:rsidP="00000000" w:rsidRDefault="00000000" w:rsidRPr="00000000" w14:paraId="00000026">
      <w:pPr>
        <w:spacing w:after="0" w:line="240" w:lineRule="auto"/>
        <w:jc w:val="center"/>
        <w:rPr>
          <w:rFonts w:ascii="Century Gothic" w:cs="Century Gothic" w:eastAsia="Century Gothic" w:hAnsi="Century Gothic"/>
          <w:b w:val="0"/>
          <w:color w:val="ff0000"/>
          <w:sz w:val="32"/>
          <w:szCs w:val="32"/>
          <w:vertAlign w:val="baseline"/>
        </w:rPr>
      </w:pPr>
      <w:r w:rsidDel="00000000" w:rsidR="00000000" w:rsidRPr="00000000">
        <w:rPr>
          <w:rFonts w:ascii="Century Gothic" w:cs="Century Gothic" w:eastAsia="Century Gothic" w:hAnsi="Century Gothic"/>
          <w:b w:val="1"/>
          <w:color w:val="ff0000"/>
          <w:sz w:val="32"/>
          <w:szCs w:val="32"/>
          <w:vertAlign w:val="baseline"/>
          <w:rtl w:val="0"/>
        </w:rPr>
        <w:t xml:space="preserve">ADDITIONAL STONE ARTIFACT INFORMATION:</w:t>
      </w:r>
      <w:r w:rsidDel="00000000" w:rsidR="00000000" w:rsidRPr="00000000">
        <w:rPr>
          <w:rtl w:val="0"/>
        </w:rPr>
      </w:r>
    </w:p>
    <w:p w:rsidR="00000000" w:rsidDel="00000000" w:rsidP="00000000" w:rsidRDefault="00000000" w:rsidRPr="00000000" w14:paraId="00000027">
      <w:pPr>
        <w:spacing w:after="0" w:line="240" w:lineRule="auto"/>
        <w:jc w:val="both"/>
        <w:rPr>
          <w:rFonts w:ascii="Century Gothic" w:cs="Century Gothic" w:eastAsia="Century Gothic" w:hAnsi="Century Gothic"/>
          <w:color w:val="ff0000"/>
          <w:sz w:val="32"/>
          <w:szCs w:val="32"/>
          <w:vertAlign w:val="baseline"/>
        </w:rPr>
      </w:pPr>
      <w:r w:rsidDel="00000000" w:rsidR="00000000" w:rsidRPr="00000000">
        <w:rPr>
          <w:rFonts w:ascii="Century Gothic" w:cs="Century Gothic" w:eastAsia="Century Gothic" w:hAnsi="Century Gothic"/>
          <w:color w:val="ff0000"/>
          <w:sz w:val="32"/>
          <w:szCs w:val="32"/>
          <w:vertAlign w:val="baseline"/>
          <w:rtl w:val="0"/>
        </w:rPr>
        <w:t xml:space="preserve">BELOW IS SOME ADDITIONAL DETAILS OF SOME OF THE MOST COMMON TYPES OF LITHICS (STONE) ARTIFACTS FOUND ON PREHISTORIC ARCHAEOLOGICAL SITES…</w:t>
      </w:r>
    </w:p>
    <w:p w:rsidR="00000000" w:rsidDel="00000000" w:rsidP="00000000" w:rsidRDefault="00000000" w:rsidRPr="00000000" w14:paraId="00000028">
      <w:pPr>
        <w:spacing w:after="0" w:line="240" w:lineRule="auto"/>
        <w:jc w:val="both"/>
        <w:rPr>
          <w:rFonts w:ascii="Century Gothic" w:cs="Century Gothic" w:eastAsia="Century Gothic" w:hAnsi="Century Gothic"/>
          <w:color w:val="000000"/>
          <w:sz w:val="32"/>
          <w:szCs w:val="32"/>
          <w:vertAlign w:val="baseline"/>
        </w:rPr>
      </w:pPr>
      <w:r w:rsidDel="00000000" w:rsidR="00000000" w:rsidRPr="00000000">
        <w:rPr>
          <w:rtl w:val="0"/>
        </w:rPr>
      </w:r>
    </w:p>
    <w:p w:rsidR="00000000" w:rsidDel="00000000" w:rsidP="00000000" w:rsidRDefault="00000000" w:rsidRPr="00000000" w14:paraId="00000029">
      <w:pPr>
        <w:spacing w:after="0" w:line="240" w:lineRule="auto"/>
        <w:jc w:val="both"/>
        <w:rPr>
          <w:rFonts w:ascii="Century Gothic" w:cs="Century Gothic" w:eastAsia="Century Gothic" w:hAnsi="Century Gothic"/>
          <w:color w:val="548dd4"/>
          <w:sz w:val="32"/>
          <w:szCs w:val="32"/>
          <w:vertAlign w:val="baseline"/>
        </w:rPr>
      </w:pPr>
      <w:r w:rsidDel="00000000" w:rsidR="00000000" w:rsidRPr="00000000">
        <w:rPr>
          <w:rFonts w:ascii="Century Gothic" w:cs="Century Gothic" w:eastAsia="Century Gothic" w:hAnsi="Century Gothic"/>
          <w:color w:val="548dd4"/>
          <w:sz w:val="32"/>
          <w:szCs w:val="32"/>
          <w:vertAlign w:val="baseline"/>
          <w:rtl w:val="0"/>
        </w:rPr>
        <w:t xml:space="preserve">Core - A core is any piece of material that has had flakes removed from it. Thus, a core could be used only as a source of sharp flakes, as in this example. At other times, cores themselves might also be made into tools, in which case the resulting tool is called a core tool. </w:t>
      </w:r>
    </w:p>
    <w:p w:rsidR="00000000" w:rsidDel="00000000" w:rsidP="00000000" w:rsidRDefault="00000000" w:rsidRPr="00000000" w14:paraId="0000002A">
      <w:pPr>
        <w:spacing w:after="0" w:line="240" w:lineRule="auto"/>
        <w:jc w:val="both"/>
        <w:rPr>
          <w:rFonts w:ascii="Century Gothic" w:cs="Century Gothic" w:eastAsia="Century Gothic" w:hAnsi="Century Gothic"/>
          <w:color w:val="548dd4"/>
          <w:sz w:val="32"/>
          <w:szCs w:val="32"/>
          <w:vertAlign w:val="baseline"/>
        </w:rPr>
      </w:pPr>
      <w:r w:rsidDel="00000000" w:rsidR="00000000" w:rsidRPr="00000000">
        <w:rPr>
          <w:rtl w:val="0"/>
        </w:rPr>
      </w:r>
    </w:p>
    <w:p w:rsidR="00000000" w:rsidDel="00000000" w:rsidP="00000000" w:rsidRDefault="00000000" w:rsidRPr="00000000" w14:paraId="0000002B">
      <w:pPr>
        <w:spacing w:after="0" w:line="240" w:lineRule="auto"/>
        <w:jc w:val="both"/>
        <w:rPr>
          <w:rFonts w:ascii="Century Gothic" w:cs="Century Gothic" w:eastAsia="Century Gothic" w:hAnsi="Century Gothic"/>
          <w:color w:val="548dd4"/>
          <w:sz w:val="32"/>
          <w:szCs w:val="32"/>
          <w:vertAlign w:val="baseline"/>
        </w:rPr>
      </w:pPr>
      <w:r w:rsidDel="00000000" w:rsidR="00000000" w:rsidRPr="00000000">
        <w:rPr>
          <w:rFonts w:ascii="Century Gothic" w:cs="Century Gothic" w:eastAsia="Century Gothic" w:hAnsi="Century Gothic"/>
          <w:color w:val="548dd4"/>
          <w:sz w:val="32"/>
          <w:szCs w:val="32"/>
          <w:vertAlign w:val="baseline"/>
          <w:rtl w:val="0"/>
        </w:rPr>
        <w:t xml:space="preserve">Flake - A flake is any material removed from a core, whether intentional or not. In some cases, the flakes themselves were meant to serve as tools. In other cases, the flake is further modified to make a tool. At other times, the flakes may just be the waste material from shaping, thinning, or resharpening a stone tool. This waste material is called debitage, and is one of the most important collections of lithic material that archaeologists study. By studying the waste flakes and failures, we can actually reconstruct the prehistoric production technology and gain valuable insight into an important component of prehistoric human behavior. </w:t>
      </w:r>
    </w:p>
    <w:p w:rsidR="00000000" w:rsidDel="00000000" w:rsidP="00000000" w:rsidRDefault="00000000" w:rsidRPr="00000000" w14:paraId="0000002C">
      <w:pPr>
        <w:rPr>
          <w:rFonts w:ascii="Century Gothic" w:cs="Century Gothic" w:eastAsia="Century Gothic" w:hAnsi="Century Gothic"/>
          <w:sz w:val="32"/>
          <w:szCs w:val="32"/>
          <w:vertAlign w:val="baseline"/>
        </w:rPr>
      </w:pPr>
      <w:r w:rsidDel="00000000" w:rsidR="00000000" w:rsidRPr="00000000">
        <w:rPr>
          <w:rFonts w:ascii="Century Gothic" w:cs="Century Gothic" w:eastAsia="Century Gothic" w:hAnsi="Century Gothic"/>
          <w:sz w:val="32"/>
          <w:szCs w:val="32"/>
          <w:vertAlign w:val="baseline"/>
        </w:rPr>
        <w:drawing>
          <wp:inline distB="0" distT="0" distL="114300" distR="114300">
            <wp:extent cx="4857750" cy="2590800"/>
            <wp:effectExtent b="0" l="0" r="0" t="0"/>
            <wp:docPr descr="Flake_Morphology" id="1026" name="image1.png"/>
            <a:graphic>
              <a:graphicData uri="http://schemas.openxmlformats.org/drawingml/2006/picture">
                <pic:pic>
                  <pic:nvPicPr>
                    <pic:cNvPr descr="Flake_Morphology" id="0" name="image1.png"/>
                    <pic:cNvPicPr preferRelativeResize="0"/>
                  </pic:nvPicPr>
                  <pic:blipFill>
                    <a:blip r:embed="rId7"/>
                    <a:srcRect b="0" l="0" r="0" t="0"/>
                    <a:stretch>
                      <a:fillRect/>
                    </a:stretch>
                  </pic:blipFill>
                  <pic:spPr>
                    <a:xfrm>
                      <a:off x="0" y="0"/>
                      <a:ext cx="485775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sz w:val="32"/>
          <w:szCs w:val="32"/>
          <w:vertAlign w:val="baseline"/>
        </w:rPr>
      </w:pPr>
      <w:r w:rsidDel="00000000" w:rsidR="00000000" w:rsidRPr="00000000">
        <w:rPr>
          <w:rtl w:val="0"/>
        </w:rPr>
      </w:r>
    </w:p>
    <w:p w:rsidR="00000000" w:rsidDel="00000000" w:rsidP="00000000" w:rsidRDefault="00000000" w:rsidRPr="00000000" w14:paraId="0000002E">
      <w:pPr>
        <w:jc w:val="both"/>
        <w:rPr>
          <w:rFonts w:ascii="Century Gothic" w:cs="Century Gothic" w:eastAsia="Century Gothic" w:hAnsi="Century Gothic"/>
          <w:sz w:val="32"/>
          <w:szCs w:val="32"/>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entury Gothic" w:cs="Century Gothic" w:eastAsia="Century Gothic" w:hAnsi="Century Gothic"/>
          <w:b w:val="0"/>
          <w:i w:val="0"/>
          <w:smallCaps w:val="0"/>
          <w:strike w:val="0"/>
          <w:color w:val="c0504d"/>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0">
      <w:pPr>
        <w:rPr>
          <w:rFonts w:ascii="Century Gothic" w:cs="Century Gothic" w:eastAsia="Century Gothic" w:hAnsi="Century Gothic"/>
          <w:color w:val="000000"/>
          <w:sz w:val="32"/>
          <w:szCs w:val="32"/>
          <w:vertAlign w:val="baseline"/>
        </w:rPr>
      </w:pPr>
      <w:r w:rsidDel="00000000" w:rsidR="00000000" w:rsidRPr="00000000">
        <w:rPr>
          <w:rtl w:val="0"/>
        </w:rPr>
      </w:r>
    </w:p>
    <w:p w:rsidR="00000000" w:rsidDel="00000000" w:rsidP="00000000" w:rsidRDefault="00000000" w:rsidRPr="00000000" w14:paraId="00000031">
      <w:pPr>
        <w:rPr>
          <w:rFonts w:ascii="Century Gothic" w:cs="Century Gothic" w:eastAsia="Century Gothic" w:hAnsi="Century Gothic"/>
          <w:sz w:val="32"/>
          <w:szCs w:val="32"/>
          <w:vertAlign w:val="baseline"/>
        </w:rPr>
      </w:pPr>
      <w:r w:rsidDel="00000000" w:rsidR="00000000" w:rsidRPr="00000000">
        <w:rPr>
          <w:rtl w:val="0"/>
        </w:rPr>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upp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lvl w:ilvl="0">
      <w:start w:val="1"/>
      <w:numFmt w:val="decimal"/>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abstractNum w:abstractNumId="4">
    <w:lvl w:ilvl="0">
      <w:start w:val="1"/>
      <w:numFmt w:val="lowerLetter"/>
      <w:lvlText w:val="%1."/>
      <w:lvlJc w:val="left"/>
      <w:pPr>
        <w:ind w:left="4320" w:hanging="360"/>
      </w:pPr>
      <w:rPr>
        <w:color w:val="000000"/>
        <w:vertAlign w:val="baseline"/>
      </w:rPr>
    </w:lvl>
    <w:lvl w:ilvl="1">
      <w:start w:val="1"/>
      <w:numFmt w:val="lowerLetter"/>
      <w:lvlText w:val="%2."/>
      <w:lvlJc w:val="left"/>
      <w:pPr>
        <w:ind w:left="5040" w:hanging="360"/>
      </w:pPr>
      <w:rPr>
        <w:vertAlign w:val="baseline"/>
      </w:rPr>
    </w:lvl>
    <w:lvl w:ilvl="2">
      <w:start w:val="1"/>
      <w:numFmt w:val="lowerRoman"/>
      <w:lvlText w:val="%3."/>
      <w:lvlJc w:val="right"/>
      <w:pPr>
        <w:ind w:left="5760" w:hanging="180"/>
      </w:pPr>
      <w:rPr>
        <w:vertAlign w:val="baseline"/>
      </w:rPr>
    </w:lvl>
    <w:lvl w:ilvl="3">
      <w:start w:val="1"/>
      <w:numFmt w:val="decimal"/>
      <w:lvlText w:val="%4."/>
      <w:lvlJc w:val="left"/>
      <w:pPr>
        <w:ind w:left="6480" w:hanging="360"/>
      </w:pPr>
      <w:rPr>
        <w:vertAlign w:val="baseline"/>
      </w:rPr>
    </w:lvl>
    <w:lvl w:ilvl="4">
      <w:start w:val="1"/>
      <w:numFmt w:val="lowerLetter"/>
      <w:lvlText w:val="%5."/>
      <w:lvlJc w:val="left"/>
      <w:pPr>
        <w:ind w:left="7200" w:hanging="360"/>
      </w:pPr>
      <w:rPr>
        <w:vertAlign w:val="baseline"/>
      </w:rPr>
    </w:lvl>
    <w:lvl w:ilvl="5">
      <w:start w:val="1"/>
      <w:numFmt w:val="lowerRoman"/>
      <w:lvlText w:val="%6."/>
      <w:lvlJc w:val="right"/>
      <w:pPr>
        <w:ind w:left="7920" w:hanging="180"/>
      </w:pPr>
      <w:rPr>
        <w:vertAlign w:val="baseline"/>
      </w:rPr>
    </w:lvl>
    <w:lvl w:ilvl="6">
      <w:start w:val="1"/>
      <w:numFmt w:val="decimal"/>
      <w:lvlText w:val="%7."/>
      <w:lvlJc w:val="left"/>
      <w:pPr>
        <w:ind w:left="8640" w:hanging="360"/>
      </w:pPr>
      <w:rPr>
        <w:vertAlign w:val="baseline"/>
      </w:rPr>
    </w:lvl>
    <w:lvl w:ilvl="7">
      <w:start w:val="1"/>
      <w:numFmt w:val="lowerLetter"/>
      <w:lvlText w:val="%8."/>
      <w:lvlJc w:val="left"/>
      <w:pPr>
        <w:ind w:left="9360" w:hanging="360"/>
      </w:pPr>
      <w:rPr>
        <w:vertAlign w:val="baseline"/>
      </w:rPr>
    </w:lvl>
    <w:lvl w:ilvl="8">
      <w:start w:val="1"/>
      <w:numFmt w:val="lowerRoman"/>
      <w:lvlText w:val="%9."/>
      <w:lvlJc w:val="right"/>
      <w:pPr>
        <w:ind w:left="10080" w:hanging="180"/>
      </w:pPr>
      <w:rPr>
        <w:vertAlign w:val="baseline"/>
      </w:rPr>
    </w:lvl>
  </w:abstractNum>
  <w:abstractNum w:abstractNumId="5">
    <w:lvl w:ilvl="0">
      <w:start w:val="1"/>
      <w:numFmt w:val="decimal"/>
      <w:lvlText w:val="%1."/>
      <w:lvlJc w:val="left"/>
      <w:pPr>
        <w:ind w:left="2520" w:hanging="360"/>
      </w:pPr>
      <w:rPr>
        <w:vertAlign w:val="baseline"/>
      </w:rPr>
    </w:lvl>
    <w:lvl w:ilvl="1">
      <w:start w:val="1"/>
      <w:numFmt w:val="lowerLetter"/>
      <w:lvlText w:val="%2."/>
      <w:lvlJc w:val="left"/>
      <w:pPr>
        <w:ind w:left="3240" w:hanging="360"/>
      </w:pPr>
      <w:rPr>
        <w:vertAlign w:val="baseline"/>
      </w:rPr>
    </w:lvl>
    <w:lvl w:ilvl="2">
      <w:start w:val="1"/>
      <w:numFmt w:val="lowerRoman"/>
      <w:lvlText w:val="%3."/>
      <w:lvlJc w:val="right"/>
      <w:pPr>
        <w:ind w:left="3960" w:hanging="180"/>
      </w:pPr>
      <w:rPr>
        <w:vertAlign w:val="baseline"/>
      </w:rPr>
    </w:lvl>
    <w:lvl w:ilvl="3">
      <w:start w:val="1"/>
      <w:numFmt w:val="decimal"/>
      <w:lvlText w:val="%4."/>
      <w:lvlJc w:val="left"/>
      <w:pPr>
        <w:ind w:left="4680" w:hanging="360"/>
      </w:pPr>
      <w:rPr>
        <w:vertAlign w:val="baseline"/>
      </w:rPr>
    </w:lvl>
    <w:lvl w:ilvl="4">
      <w:start w:val="1"/>
      <w:numFmt w:val="lowerLetter"/>
      <w:lvlText w:val="%5."/>
      <w:lvlJc w:val="left"/>
      <w:pPr>
        <w:ind w:left="5400" w:hanging="360"/>
      </w:pPr>
      <w:rPr>
        <w:vertAlign w:val="baseline"/>
      </w:rPr>
    </w:lvl>
    <w:lvl w:ilvl="5">
      <w:start w:val="1"/>
      <w:numFmt w:val="lowerRoman"/>
      <w:lvlText w:val="%6."/>
      <w:lvlJc w:val="right"/>
      <w:pPr>
        <w:ind w:left="6120" w:hanging="180"/>
      </w:pPr>
      <w:rPr>
        <w:vertAlign w:val="baseline"/>
      </w:rPr>
    </w:lvl>
    <w:lvl w:ilvl="6">
      <w:start w:val="1"/>
      <w:numFmt w:val="decimal"/>
      <w:lvlText w:val="%7."/>
      <w:lvlJc w:val="left"/>
      <w:pPr>
        <w:ind w:left="6840" w:hanging="360"/>
      </w:pPr>
      <w:rPr>
        <w:vertAlign w:val="baseline"/>
      </w:rPr>
    </w:lvl>
    <w:lvl w:ilvl="7">
      <w:start w:val="1"/>
      <w:numFmt w:val="lowerLetter"/>
      <w:lvlText w:val="%8."/>
      <w:lvlJc w:val="left"/>
      <w:pPr>
        <w:ind w:left="7560" w:hanging="360"/>
      </w:pPr>
      <w:rPr>
        <w:vertAlign w:val="baseline"/>
      </w:rPr>
    </w:lvl>
    <w:lvl w:ilvl="8">
      <w:start w:val="1"/>
      <w:numFmt w:val="lowerRoman"/>
      <w:lvlText w:val="%9."/>
      <w:lvlJc w:val="right"/>
      <w:pPr>
        <w:ind w:left="8280" w:hanging="18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1ekW6ynVkL41O7S86s8NrPvMNw==">AMUW2mVma7Oxcm+rkmlsslc1+Og8HUx1n03viiJR/22+1AUW1e12VhQ5JHfU2ePmIv/DOLe48nI5BHWIwwzF6dIStrwVyq11XKkheBWa8mscGHYz3XNcxko=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2018-03-26T13:49:00Z</dcterms:created>
  <dc:creator>Doug</dc:creator>
</cp:coreProperties>
</file>